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96EB" w14:textId="28DD86EA" w:rsidR="002E615D" w:rsidRDefault="00EB6039">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noProof/>
          <w:sz w:val="36"/>
          <w:szCs w:val="36"/>
        </w:rPr>
        <mc:AlternateContent>
          <mc:Choice Requires="wps">
            <w:drawing>
              <wp:anchor distT="0" distB="0" distL="114300" distR="114300" simplePos="0" relativeHeight="251658240" behindDoc="0" locked="0" layoutInCell="1" allowOverlap="1" wp14:anchorId="60549F1D" wp14:editId="0CBCC3D4">
                <wp:simplePos x="0" y="0"/>
                <wp:positionH relativeFrom="column">
                  <wp:posOffset>-161925</wp:posOffset>
                </wp:positionH>
                <wp:positionV relativeFrom="paragraph">
                  <wp:posOffset>-666750</wp:posOffset>
                </wp:positionV>
                <wp:extent cx="1190625" cy="42862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8F8C0" w14:textId="6DE966F9" w:rsidR="00EB6039" w:rsidRPr="00AC249A" w:rsidRDefault="00EB6039" w:rsidP="00EB6039">
                            <w:pPr>
                              <w:rPr>
                                <w:rFonts w:ascii="仿宋_GB2312" w:hAnsi="黑体"/>
                                <w:sz w:val="30"/>
                                <w:szCs w:val="30"/>
                              </w:rPr>
                            </w:pPr>
                            <w:r w:rsidRPr="00AC249A">
                              <w:rPr>
                                <w:rFonts w:ascii="仿宋_GB2312" w:hAnsi="黑体" w:hint="eastAsia"/>
                                <w:sz w:val="30"/>
                                <w:szCs w:val="30"/>
                              </w:rPr>
                              <w:t>附件</w:t>
                            </w:r>
                            <w:r>
                              <w:rPr>
                                <w:rFonts w:ascii="仿宋_GB2312" w:hAnsi="黑体"/>
                                <w:sz w:val="30"/>
                                <w:szCs w:val="30"/>
                              </w:rPr>
                              <w:t>1</w:t>
                            </w:r>
                            <w:r>
                              <w:rPr>
                                <w:rFonts w:ascii="仿宋_GB2312" w:hAnsi="黑体"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49F1D" id="_x0000_t202" coordsize="21600,21600" o:spt="202" path="m,l,21600r21600,l21600,xe">
                <v:stroke joinstyle="miter"/>
                <v:path gradientshapeok="t" o:connecttype="rect"/>
              </v:shapetype>
              <v:shape id="文本框 1" o:spid="_x0000_s1026" type="#_x0000_t202" style="position:absolute;left:0;text-align:left;margin-left:-12.75pt;margin-top:-52.5pt;width:93.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" stroked="f">
                <v:textbox>
                  <w:txbxContent>
                    <w:p w14:paraId="4318F8C0" w14:textId="6DE966F9" w:rsidR="00EB6039" w:rsidRPr="00AC249A" w:rsidRDefault="00EB6039" w:rsidP="00EB6039">
                      <w:pPr>
                        <w:rPr>
                          <w:rFonts w:ascii="仿宋_GB2312" w:hAnsi="黑体"/>
                          <w:sz w:val="30"/>
                          <w:szCs w:val="30"/>
                        </w:rPr>
                      </w:pPr>
                      <w:r w:rsidRPr="00AC249A">
                        <w:rPr>
                          <w:rFonts w:ascii="仿宋_GB2312" w:hAnsi="黑体" w:hint="eastAsia"/>
                          <w:sz w:val="30"/>
                          <w:szCs w:val="30"/>
                        </w:rPr>
                        <w:t>附件</w:t>
                      </w:r>
                      <w:r>
                        <w:rPr>
                          <w:rFonts w:ascii="仿宋_GB2312" w:hAnsi="黑体"/>
                          <w:sz w:val="30"/>
                          <w:szCs w:val="30"/>
                        </w:rPr>
                        <w:t>1</w:t>
                      </w:r>
                      <w:r>
                        <w:rPr>
                          <w:rFonts w:ascii="仿宋_GB2312" w:hAnsi="黑体" w:hint="eastAsia"/>
                          <w:sz w:val="30"/>
                          <w:szCs w:val="30"/>
                        </w:rPr>
                        <w:t>：</w:t>
                      </w:r>
                    </w:p>
                  </w:txbxContent>
                </v:textbox>
              </v:shape>
            </w:pict>
          </mc:Fallback>
        </mc:AlternateContent>
      </w:r>
      <w:r w:rsidR="00A73297">
        <w:rPr>
          <w:rFonts w:ascii="方正小标宋简体" w:eastAsia="方正小标宋简体" w:hAnsi="方正小标宋简体" w:cs="方正小标宋简体" w:hint="eastAsia"/>
          <w:sz w:val="36"/>
          <w:szCs w:val="36"/>
        </w:rPr>
        <w:t>福建省“闽水杯”水利优质工程评选</w:t>
      </w:r>
      <w:r w:rsidR="00CC23AF">
        <w:rPr>
          <w:rFonts w:ascii="方正小标宋简体" w:eastAsia="方正小标宋简体" w:hAnsi="方正小标宋简体" w:cs="方正小标宋简体" w:hint="eastAsia"/>
          <w:sz w:val="36"/>
          <w:szCs w:val="36"/>
        </w:rPr>
        <w:t>管理</w:t>
      </w:r>
      <w:r w:rsidR="00A73297">
        <w:rPr>
          <w:rFonts w:ascii="方正小标宋简体" w:eastAsia="方正小标宋简体" w:hAnsi="方正小标宋简体" w:cs="方正小标宋简体" w:hint="eastAsia"/>
          <w:sz w:val="36"/>
          <w:szCs w:val="36"/>
        </w:rPr>
        <w:t>办法</w:t>
      </w:r>
    </w:p>
    <w:p w14:paraId="27FA8E3D" w14:textId="19B595F4" w:rsidR="002E615D" w:rsidRDefault="002E615D"/>
    <w:p w14:paraId="03007BB3" w14:textId="5FDE67B6" w:rsidR="002E615D" w:rsidRPr="00724A86" w:rsidRDefault="00A73297" w:rsidP="00724A86">
      <w:pPr>
        <w:jc w:val="center"/>
        <w:rPr>
          <w:rFonts w:ascii="黑体" w:eastAsia="黑体" w:hAnsi="黑体" w:cs="黑体"/>
        </w:rPr>
      </w:pPr>
      <w:r>
        <w:rPr>
          <w:rFonts w:ascii="黑体" w:eastAsia="黑体" w:hAnsi="黑体" w:cs="黑体" w:hint="eastAsia"/>
        </w:rPr>
        <w:t>第一章  总 则</w:t>
      </w:r>
    </w:p>
    <w:p w14:paraId="44962505" w14:textId="558D75A1" w:rsidR="002E615D" w:rsidRDefault="00A73297" w:rsidP="00724A86">
      <w:pPr>
        <w:spacing w:beforeLines="50" w:before="289"/>
        <w:ind w:firstLineChars="200" w:firstLine="632"/>
      </w:pPr>
      <w:r>
        <w:rPr>
          <w:rFonts w:hint="eastAsia"/>
        </w:rPr>
        <w:t>第一条</w:t>
      </w:r>
      <w:r>
        <w:rPr>
          <w:rFonts w:hint="eastAsia"/>
        </w:rPr>
        <w:t xml:space="preserve"> </w:t>
      </w:r>
      <w:r>
        <w:rPr>
          <w:rFonts w:hint="eastAsia"/>
        </w:rPr>
        <w:t>为贯彻落实水利部《水利工程质量管理规定》、《贯彻质量发展纲要提升水利工程质量的实施意见》及省人民政府《关于进一步支持建筑业发展壮大十条措施的通知》等文件精神，促进我省水利工程建设管理水平和工程建设质量的提高，根据国务院《质量发展纲要（</w:t>
      </w:r>
      <w:r>
        <w:rPr>
          <w:rFonts w:hint="eastAsia"/>
        </w:rPr>
        <w:t>2011</w:t>
      </w:r>
      <w:r>
        <w:rPr>
          <w:rFonts w:hint="eastAsia"/>
        </w:rPr>
        <w:t>－</w:t>
      </w:r>
      <w:r>
        <w:rPr>
          <w:rFonts w:hint="eastAsia"/>
        </w:rPr>
        <w:t>2020</w:t>
      </w:r>
      <w:r>
        <w:rPr>
          <w:rFonts w:hint="eastAsia"/>
        </w:rPr>
        <w:t>年）》，结合我省实际，就</w:t>
      </w:r>
      <w:proofErr w:type="gramStart"/>
      <w:r>
        <w:rPr>
          <w:rFonts w:hint="eastAsia"/>
        </w:rPr>
        <w:t>制定省</w:t>
      </w:r>
      <w:proofErr w:type="gramEnd"/>
      <w:r>
        <w:rPr>
          <w:rFonts w:hint="eastAsia"/>
        </w:rPr>
        <w:t>“闽水杯”水利优质工程评选</w:t>
      </w:r>
      <w:r w:rsidR="00CC23AF">
        <w:rPr>
          <w:rFonts w:hint="eastAsia"/>
        </w:rPr>
        <w:t>管理</w:t>
      </w:r>
      <w:r>
        <w:rPr>
          <w:rFonts w:hint="eastAsia"/>
        </w:rPr>
        <w:t>办法。</w:t>
      </w:r>
    </w:p>
    <w:p w14:paraId="4F1703FD" w14:textId="77777777" w:rsidR="002E615D" w:rsidRDefault="00A73297">
      <w:pPr>
        <w:ind w:firstLineChars="200" w:firstLine="632"/>
      </w:pPr>
      <w:r>
        <w:rPr>
          <w:rFonts w:hint="eastAsia"/>
        </w:rPr>
        <w:t>第二条</w:t>
      </w:r>
      <w:r>
        <w:rPr>
          <w:rFonts w:hint="eastAsia"/>
        </w:rPr>
        <w:t xml:space="preserve"> </w:t>
      </w:r>
      <w:r>
        <w:rPr>
          <w:rFonts w:hint="eastAsia"/>
        </w:rPr>
        <w:t>“闽水杯”水利优质工程设金奖、银奖两个等级。“闽水杯”金奖是福建省水利工程质量评比最高奖，获奖工程应是建设管理规范、技术方案先进、施工质量优良、运行安全可靠、工程效益显著的省内领先水平水利工程。</w:t>
      </w:r>
    </w:p>
    <w:p w14:paraId="4100E337" w14:textId="5D7A5BA4" w:rsidR="002E615D" w:rsidRDefault="00A73297">
      <w:pPr>
        <w:ind w:firstLineChars="200" w:firstLine="632"/>
      </w:pPr>
      <w:r>
        <w:rPr>
          <w:rFonts w:hint="eastAsia"/>
        </w:rPr>
        <w:t>第三条“闽水杯”评选对象为本省境内已经建成并投入使用的水利工程，原则上以一个批准的初步设计工程为申报项目参加评选。评选工作按申报、初审、现场复核、评审和奖励等程序进行。评选活动在省水利厅的指导下由福建省水利工程协会（简称工程协会）组织实施，并由工程协会组织制定评</w:t>
      </w:r>
      <w:r w:rsidR="00CC23AF">
        <w:rPr>
          <w:rFonts w:hint="eastAsia"/>
        </w:rPr>
        <w:t>选</w:t>
      </w:r>
      <w:r>
        <w:rPr>
          <w:rFonts w:hint="eastAsia"/>
        </w:rPr>
        <w:t>办法、评分细则、申报表格等，组织开展评选活动，将评选结果向社会公告。</w:t>
      </w:r>
    </w:p>
    <w:p w14:paraId="5A199ACF" w14:textId="77777777" w:rsidR="002E615D" w:rsidRDefault="00A73297">
      <w:pPr>
        <w:ind w:firstLineChars="200" w:firstLine="632"/>
      </w:pPr>
      <w:r>
        <w:rPr>
          <w:rFonts w:hint="eastAsia"/>
        </w:rPr>
        <w:t>第四条“闽水杯”原则上每年组织申报，对为获奖工程</w:t>
      </w:r>
      <w:proofErr w:type="gramStart"/>
      <w:r>
        <w:rPr>
          <w:rFonts w:hint="eastAsia"/>
        </w:rPr>
        <w:t>作出</w:t>
      </w:r>
      <w:proofErr w:type="gramEnd"/>
      <w:r>
        <w:rPr>
          <w:rFonts w:hint="eastAsia"/>
        </w:rPr>
        <w:t>主要贡献的单位和个人进行表彰。</w:t>
      </w:r>
    </w:p>
    <w:p w14:paraId="2354CB45" w14:textId="77777777" w:rsidR="002E615D" w:rsidRDefault="00A73297">
      <w:pPr>
        <w:jc w:val="center"/>
        <w:rPr>
          <w:rFonts w:ascii="黑体" w:eastAsia="黑体" w:hAnsi="黑体" w:cs="黑体"/>
        </w:rPr>
      </w:pPr>
      <w:r>
        <w:rPr>
          <w:rFonts w:ascii="黑体" w:eastAsia="黑体" w:hAnsi="黑体" w:cs="黑体" w:hint="eastAsia"/>
        </w:rPr>
        <w:lastRenderedPageBreak/>
        <w:t>第二章  评选范围与申报条件</w:t>
      </w:r>
    </w:p>
    <w:p w14:paraId="2F093625" w14:textId="77777777" w:rsidR="002E615D" w:rsidRDefault="00A73297" w:rsidP="00724A86">
      <w:pPr>
        <w:spacing w:beforeLines="50" w:before="289"/>
        <w:ind w:firstLineChars="200" w:firstLine="632"/>
      </w:pPr>
      <w:r>
        <w:rPr>
          <w:rFonts w:hint="eastAsia"/>
        </w:rPr>
        <w:t>第五条</w:t>
      </w:r>
      <w:r>
        <w:rPr>
          <w:rFonts w:hint="eastAsia"/>
        </w:rPr>
        <w:t xml:space="preserve"> </w:t>
      </w:r>
      <w:r>
        <w:rPr>
          <w:rFonts w:hint="eastAsia"/>
        </w:rPr>
        <w:t>凡在福建省境内新建、改建、扩建的大中型水利工程</w:t>
      </w:r>
      <w:r>
        <w:rPr>
          <w:rFonts w:hint="eastAsia"/>
        </w:rPr>
        <w:t>,</w:t>
      </w:r>
      <w:r>
        <w:rPr>
          <w:rFonts w:hint="eastAsia"/>
        </w:rPr>
        <w:t>或工程质量特别优秀的小型工程，具备申报条件的均可申报。</w:t>
      </w:r>
    </w:p>
    <w:p w14:paraId="0F6F0130" w14:textId="77777777" w:rsidR="002E615D" w:rsidRDefault="00A73297">
      <w:pPr>
        <w:ind w:firstLineChars="200" w:firstLine="632"/>
      </w:pPr>
      <w:r>
        <w:rPr>
          <w:rFonts w:hint="eastAsia"/>
        </w:rPr>
        <w:t>第六条</w:t>
      </w:r>
      <w:r>
        <w:rPr>
          <w:rFonts w:hint="eastAsia"/>
        </w:rPr>
        <w:t xml:space="preserve"> </w:t>
      </w:r>
      <w:r>
        <w:rPr>
          <w:rFonts w:hint="eastAsia"/>
        </w:rPr>
        <w:t>申报工程，应满足以下条件：</w:t>
      </w:r>
    </w:p>
    <w:p w14:paraId="308D3673" w14:textId="77777777" w:rsidR="002E615D" w:rsidRDefault="00A73297">
      <w:pPr>
        <w:ind w:firstLineChars="200" w:firstLine="632"/>
      </w:pPr>
      <w:r>
        <w:rPr>
          <w:rFonts w:hint="eastAsia"/>
        </w:rPr>
        <w:t>1</w:t>
      </w:r>
      <w:r>
        <w:rPr>
          <w:rFonts w:hint="eastAsia"/>
        </w:rPr>
        <w:t>、工程项目建安工程造价额在</w:t>
      </w:r>
      <w:r>
        <w:rPr>
          <w:rFonts w:hint="eastAsia"/>
        </w:rPr>
        <w:t xml:space="preserve"> 1000</w:t>
      </w:r>
      <w:r>
        <w:rPr>
          <w:rFonts w:hint="eastAsia"/>
        </w:rPr>
        <w:t>万元（含）以上；</w:t>
      </w:r>
    </w:p>
    <w:p w14:paraId="346EB378" w14:textId="77777777" w:rsidR="002E615D" w:rsidRDefault="00A73297">
      <w:pPr>
        <w:ind w:firstLineChars="200" w:firstLine="632"/>
      </w:pPr>
      <w:r>
        <w:rPr>
          <w:rFonts w:hint="eastAsia"/>
        </w:rPr>
        <w:t>2</w:t>
      </w:r>
      <w:r>
        <w:rPr>
          <w:rFonts w:hint="eastAsia"/>
        </w:rPr>
        <w:t>、符合基本建设程序。</w:t>
      </w:r>
    </w:p>
    <w:p w14:paraId="15E7C655" w14:textId="77777777" w:rsidR="002E615D" w:rsidRDefault="00A73297">
      <w:pPr>
        <w:ind w:firstLineChars="200" w:firstLine="632"/>
      </w:pPr>
      <w:r>
        <w:rPr>
          <w:rFonts w:hint="eastAsia"/>
        </w:rPr>
        <w:t>3</w:t>
      </w:r>
      <w:r>
        <w:rPr>
          <w:rFonts w:hint="eastAsia"/>
        </w:rPr>
        <w:t>、工程施工质量评定达到优良等级。</w:t>
      </w:r>
    </w:p>
    <w:p w14:paraId="77B06625" w14:textId="77777777" w:rsidR="002E615D" w:rsidRDefault="00A73297">
      <w:pPr>
        <w:ind w:firstLineChars="200" w:firstLine="632"/>
      </w:pPr>
      <w:r>
        <w:rPr>
          <w:rFonts w:hint="eastAsia"/>
        </w:rPr>
        <w:t>4</w:t>
      </w:r>
      <w:r>
        <w:rPr>
          <w:rFonts w:hint="eastAsia"/>
        </w:rPr>
        <w:t>、工程投入使用</w:t>
      </w:r>
      <w:r>
        <w:rPr>
          <w:rFonts w:hint="eastAsia"/>
        </w:rPr>
        <w:t>1</w:t>
      </w:r>
      <w:r>
        <w:rPr>
          <w:rFonts w:hint="eastAsia"/>
        </w:rPr>
        <w:t>年以上且运行正常，或通过竣工验收。</w:t>
      </w:r>
    </w:p>
    <w:p w14:paraId="454B8D48" w14:textId="77777777" w:rsidR="002E615D" w:rsidRDefault="00A73297">
      <w:pPr>
        <w:ind w:firstLineChars="200" w:firstLine="632"/>
      </w:pPr>
      <w:r>
        <w:rPr>
          <w:rFonts w:hint="eastAsia"/>
        </w:rPr>
        <w:t>5</w:t>
      </w:r>
      <w:r>
        <w:rPr>
          <w:rFonts w:hint="eastAsia"/>
        </w:rPr>
        <w:t>、竣工验收</w:t>
      </w:r>
      <w:r>
        <w:rPr>
          <w:rFonts w:hint="eastAsia"/>
        </w:rPr>
        <w:t>3</w:t>
      </w:r>
      <w:r>
        <w:rPr>
          <w:rFonts w:hint="eastAsia"/>
        </w:rPr>
        <w:t>年以内。</w:t>
      </w:r>
    </w:p>
    <w:p w14:paraId="7E77D619" w14:textId="77777777" w:rsidR="002E615D" w:rsidRDefault="00A73297">
      <w:pPr>
        <w:ind w:firstLineChars="200" w:firstLine="632"/>
      </w:pPr>
      <w:r>
        <w:rPr>
          <w:rFonts w:hint="eastAsia"/>
        </w:rPr>
        <w:t>6</w:t>
      </w:r>
      <w:r>
        <w:rPr>
          <w:rFonts w:hint="eastAsia"/>
        </w:rPr>
        <w:t>、项目建设符合相应项目管理办法的要求。</w:t>
      </w:r>
    </w:p>
    <w:p w14:paraId="5C0C464C" w14:textId="561F9961" w:rsidR="002E615D" w:rsidRDefault="00A73297">
      <w:pPr>
        <w:ind w:firstLineChars="200" w:firstLine="632"/>
      </w:pPr>
      <w:r>
        <w:rPr>
          <w:rFonts w:hint="eastAsia"/>
        </w:rPr>
        <w:t>第</w:t>
      </w:r>
      <w:r w:rsidR="0077029B">
        <w:rPr>
          <w:rFonts w:hint="eastAsia"/>
        </w:rPr>
        <w:t>七</w:t>
      </w:r>
      <w:r>
        <w:rPr>
          <w:rFonts w:hint="eastAsia"/>
        </w:rPr>
        <w:t>条</w:t>
      </w:r>
      <w:r>
        <w:rPr>
          <w:rFonts w:hint="eastAsia"/>
        </w:rPr>
        <w:t xml:space="preserve"> </w:t>
      </w:r>
      <w:r>
        <w:rPr>
          <w:rFonts w:hint="eastAsia"/>
        </w:rPr>
        <w:t>下列工程不得申报：</w:t>
      </w:r>
    </w:p>
    <w:p w14:paraId="5DF1B1AA" w14:textId="77777777" w:rsidR="002E615D" w:rsidRDefault="00A73297">
      <w:pPr>
        <w:ind w:firstLineChars="200" w:firstLine="632"/>
      </w:pPr>
      <w:r>
        <w:rPr>
          <w:rFonts w:hint="eastAsia"/>
        </w:rPr>
        <w:t>（一）工程设计有明显质量缺陷的，或者工程效益不能满足设计要求的；</w:t>
      </w:r>
    </w:p>
    <w:p w14:paraId="1C39C1B8" w14:textId="77777777" w:rsidR="002E615D" w:rsidRDefault="00A73297">
      <w:pPr>
        <w:ind w:firstLineChars="200" w:firstLine="632"/>
      </w:pPr>
      <w:r>
        <w:rPr>
          <w:rFonts w:hint="eastAsia"/>
        </w:rPr>
        <w:t>（二）工程项目在实施过程中发生过较大及以上工程质量事故、安全事故的工程，或在移民安置、水土保持、环境保护等方面造成不良社会影响的工程。</w:t>
      </w:r>
    </w:p>
    <w:p w14:paraId="6EC96617" w14:textId="77777777" w:rsidR="002E615D" w:rsidRDefault="00A73297">
      <w:pPr>
        <w:ind w:firstLineChars="200" w:firstLine="632"/>
      </w:pPr>
      <w:r>
        <w:rPr>
          <w:rFonts w:hint="eastAsia"/>
        </w:rPr>
        <w:t>（三）涉及保密的工程；</w:t>
      </w:r>
      <w:r>
        <w:rPr>
          <w:rFonts w:hint="eastAsia"/>
        </w:rPr>
        <w:t xml:space="preserve"> </w:t>
      </w:r>
    </w:p>
    <w:p w14:paraId="3F5E6DAD" w14:textId="77777777" w:rsidR="002E615D" w:rsidRDefault="00A73297">
      <w:pPr>
        <w:ind w:firstLineChars="200" w:firstLine="632"/>
      </w:pPr>
      <w:r>
        <w:rPr>
          <w:rFonts w:hint="eastAsia"/>
        </w:rPr>
        <w:t>（四）已经申报过而未被评选上的工程。</w:t>
      </w:r>
    </w:p>
    <w:p w14:paraId="24A2604A" w14:textId="77777777" w:rsidR="002E615D" w:rsidRDefault="002E615D"/>
    <w:p w14:paraId="0454B394" w14:textId="5E04FDFB" w:rsidR="002E615D" w:rsidRDefault="00A73297">
      <w:pPr>
        <w:jc w:val="center"/>
        <w:rPr>
          <w:rFonts w:ascii="黑体" w:eastAsia="黑体" w:hAnsi="黑体" w:cs="黑体"/>
        </w:rPr>
      </w:pPr>
      <w:r>
        <w:rPr>
          <w:rFonts w:ascii="黑体" w:eastAsia="黑体" w:hAnsi="黑体" w:cs="黑体" w:hint="eastAsia"/>
        </w:rPr>
        <w:t>第三章  申</w:t>
      </w:r>
      <w:r w:rsidR="001305E3">
        <w:rPr>
          <w:rFonts w:ascii="黑体" w:eastAsia="黑体" w:hAnsi="黑体" w:cs="黑体" w:hint="eastAsia"/>
        </w:rPr>
        <w:t xml:space="preserve"> </w:t>
      </w:r>
      <w:r>
        <w:rPr>
          <w:rFonts w:ascii="黑体" w:eastAsia="黑体" w:hAnsi="黑体" w:cs="黑体" w:hint="eastAsia"/>
        </w:rPr>
        <w:t>报</w:t>
      </w:r>
    </w:p>
    <w:p w14:paraId="208D1BA9" w14:textId="1F421FE3" w:rsidR="002E615D" w:rsidRDefault="00A73297" w:rsidP="00724A86">
      <w:pPr>
        <w:spacing w:beforeLines="50" w:before="289"/>
        <w:ind w:firstLineChars="200" w:firstLine="632"/>
      </w:pPr>
      <w:r>
        <w:rPr>
          <w:rFonts w:hint="eastAsia"/>
        </w:rPr>
        <w:t>第</w:t>
      </w:r>
      <w:r w:rsidR="0077029B">
        <w:rPr>
          <w:rFonts w:hint="eastAsia"/>
        </w:rPr>
        <w:t>八</w:t>
      </w:r>
      <w:r>
        <w:rPr>
          <w:rFonts w:hint="eastAsia"/>
        </w:rPr>
        <w:t>条</w:t>
      </w:r>
      <w:r>
        <w:rPr>
          <w:rFonts w:hint="eastAsia"/>
        </w:rPr>
        <w:t xml:space="preserve"> </w:t>
      </w:r>
      <w:r>
        <w:rPr>
          <w:rFonts w:hint="eastAsia"/>
        </w:rPr>
        <w:t>申报单位为工程建设项目法人（或建设单位），或由</w:t>
      </w:r>
      <w:r>
        <w:rPr>
          <w:rFonts w:hint="eastAsia"/>
        </w:rPr>
        <w:lastRenderedPageBreak/>
        <w:t>其委托的主要参建单位。</w:t>
      </w:r>
    </w:p>
    <w:p w14:paraId="606AF856" w14:textId="69D2A22F" w:rsidR="002E615D" w:rsidRDefault="00A73297">
      <w:pPr>
        <w:ind w:firstLineChars="200" w:firstLine="632"/>
      </w:pPr>
      <w:r>
        <w:rPr>
          <w:rFonts w:hint="eastAsia"/>
        </w:rPr>
        <w:t>第</w:t>
      </w:r>
      <w:r w:rsidR="0077029B">
        <w:rPr>
          <w:rFonts w:hint="eastAsia"/>
        </w:rPr>
        <w:t>九</w:t>
      </w:r>
      <w:r>
        <w:rPr>
          <w:rFonts w:hint="eastAsia"/>
        </w:rPr>
        <w:t>条</w:t>
      </w:r>
      <w:r>
        <w:rPr>
          <w:rFonts w:hint="eastAsia"/>
        </w:rPr>
        <w:t xml:space="preserve"> </w:t>
      </w:r>
      <w:r>
        <w:rPr>
          <w:rFonts w:hint="eastAsia"/>
        </w:rPr>
        <w:t>申报单位应提交以下资料：</w:t>
      </w:r>
    </w:p>
    <w:p w14:paraId="02C5E233" w14:textId="77777777" w:rsidR="002E615D" w:rsidRDefault="00A73297">
      <w:pPr>
        <w:ind w:firstLineChars="200" w:firstLine="632"/>
      </w:pPr>
      <w:r>
        <w:rPr>
          <w:rFonts w:hint="eastAsia"/>
        </w:rPr>
        <w:t>（一）《福建省“闽水杯”水利优质工程申报表》；</w:t>
      </w:r>
    </w:p>
    <w:p w14:paraId="7C8361AA" w14:textId="77777777" w:rsidR="002E615D" w:rsidRDefault="00A73297">
      <w:pPr>
        <w:ind w:firstLineChars="200" w:firstLine="632"/>
      </w:pPr>
      <w:r>
        <w:rPr>
          <w:rFonts w:hint="eastAsia"/>
        </w:rPr>
        <w:t>（二）申请报告及证明材料纸质版；</w:t>
      </w:r>
    </w:p>
    <w:p w14:paraId="5746BE3B" w14:textId="5C6D9AF8" w:rsidR="002E615D" w:rsidRDefault="00A73297">
      <w:pPr>
        <w:ind w:firstLineChars="200" w:firstLine="632"/>
      </w:pPr>
      <w:r>
        <w:rPr>
          <w:rFonts w:hint="eastAsia"/>
        </w:rPr>
        <w:t>（三）反映工程建设情况的图片（纸质版及电子版）及影像视频（</w:t>
      </w:r>
      <w:r w:rsidR="0077029B">
        <w:t>6</w:t>
      </w:r>
      <w:r>
        <w:rPr>
          <w:rFonts w:hint="eastAsia"/>
        </w:rPr>
        <w:t>分钟以内）材料。</w:t>
      </w:r>
    </w:p>
    <w:p w14:paraId="4FFCB792" w14:textId="77777777" w:rsidR="002E615D" w:rsidRDefault="00A73297">
      <w:pPr>
        <w:ind w:firstLineChars="200" w:firstLine="632"/>
      </w:pPr>
      <w:r>
        <w:rPr>
          <w:rFonts w:hint="eastAsia"/>
        </w:rPr>
        <w:t>以上申报资料纸质版各一式两份，申报资料报送至工程协会。</w:t>
      </w:r>
    </w:p>
    <w:p w14:paraId="2D1B4996" w14:textId="1C7DBC23" w:rsidR="002E615D" w:rsidRDefault="00A73297">
      <w:pPr>
        <w:ind w:firstLineChars="200" w:firstLine="632"/>
      </w:pPr>
      <w:r>
        <w:rPr>
          <w:rFonts w:hint="eastAsia"/>
        </w:rPr>
        <w:t>第十条</w:t>
      </w:r>
      <w:r>
        <w:rPr>
          <w:rFonts w:hint="eastAsia"/>
        </w:rPr>
        <w:t xml:space="preserve"> </w:t>
      </w:r>
      <w:r>
        <w:rPr>
          <w:rFonts w:hint="eastAsia"/>
        </w:rPr>
        <w:t>申报单位填报申报表，由项目所属市级水行政主管部门签署初审推荐意见、加盖公章后向工程协会申报。</w:t>
      </w:r>
    </w:p>
    <w:p w14:paraId="0AE2C867" w14:textId="108E1509" w:rsidR="002E615D" w:rsidRDefault="00A73297">
      <w:pPr>
        <w:ind w:firstLineChars="200" w:firstLine="632"/>
      </w:pPr>
      <w:r>
        <w:rPr>
          <w:rFonts w:hint="eastAsia"/>
        </w:rPr>
        <w:t>第十</w:t>
      </w:r>
      <w:r w:rsidR="0077029B">
        <w:rPr>
          <w:rFonts w:hint="eastAsia"/>
        </w:rPr>
        <w:t>一</w:t>
      </w:r>
      <w:r>
        <w:rPr>
          <w:rFonts w:hint="eastAsia"/>
        </w:rPr>
        <w:t>条</w:t>
      </w:r>
      <w:r>
        <w:rPr>
          <w:rFonts w:hint="eastAsia"/>
        </w:rPr>
        <w:t xml:space="preserve"> </w:t>
      </w:r>
      <w:r>
        <w:rPr>
          <w:rFonts w:hint="eastAsia"/>
        </w:rPr>
        <w:t>符合申报工程范围及规模要求的工程，申报单位在工程建设期间可进行预申报，工程项目符合申报条件后，再进行正式申报。</w:t>
      </w:r>
    </w:p>
    <w:p w14:paraId="392EC0C7" w14:textId="77777777" w:rsidR="002E615D" w:rsidRDefault="002E615D"/>
    <w:p w14:paraId="51A67652" w14:textId="77777777" w:rsidR="002E615D" w:rsidRDefault="00A73297">
      <w:pPr>
        <w:jc w:val="center"/>
        <w:rPr>
          <w:rFonts w:ascii="黑体" w:eastAsia="黑体" w:hAnsi="黑体" w:cs="黑体"/>
        </w:rPr>
      </w:pPr>
      <w:r>
        <w:rPr>
          <w:rFonts w:ascii="黑体" w:eastAsia="黑体" w:hAnsi="黑体" w:cs="黑体" w:hint="eastAsia"/>
        </w:rPr>
        <w:t>第四章  初审和现场复核</w:t>
      </w:r>
    </w:p>
    <w:p w14:paraId="3C1ACEB3" w14:textId="189941D7" w:rsidR="002E615D" w:rsidRDefault="00A73297" w:rsidP="00724A86">
      <w:pPr>
        <w:spacing w:beforeLines="50" w:before="289"/>
        <w:ind w:firstLineChars="200" w:firstLine="632"/>
      </w:pPr>
      <w:r>
        <w:rPr>
          <w:rFonts w:hint="eastAsia"/>
        </w:rPr>
        <w:t>第十</w:t>
      </w:r>
      <w:r w:rsidR="0077029B">
        <w:rPr>
          <w:rFonts w:hint="eastAsia"/>
        </w:rPr>
        <w:t>二</w:t>
      </w:r>
      <w:r>
        <w:rPr>
          <w:rFonts w:hint="eastAsia"/>
        </w:rPr>
        <w:t>条</w:t>
      </w:r>
      <w:r>
        <w:rPr>
          <w:rFonts w:hint="eastAsia"/>
        </w:rPr>
        <w:t xml:space="preserve"> </w:t>
      </w:r>
      <w:r>
        <w:rPr>
          <w:rFonts w:hint="eastAsia"/>
        </w:rPr>
        <w:t>工程协会按照申报条件对申报资料进行初审，对符合要求的予以受理。</w:t>
      </w:r>
    </w:p>
    <w:p w14:paraId="6B7883EA" w14:textId="1CFD4765" w:rsidR="002E615D" w:rsidRDefault="00A73297">
      <w:pPr>
        <w:ind w:firstLineChars="200" w:firstLine="632"/>
      </w:pPr>
      <w:r>
        <w:rPr>
          <w:rFonts w:hint="eastAsia"/>
        </w:rPr>
        <w:t>第十</w:t>
      </w:r>
      <w:r w:rsidR="0077029B">
        <w:rPr>
          <w:rFonts w:hint="eastAsia"/>
        </w:rPr>
        <w:t>三</w:t>
      </w:r>
      <w:r>
        <w:rPr>
          <w:rFonts w:hint="eastAsia"/>
        </w:rPr>
        <w:t>条</w:t>
      </w:r>
      <w:r>
        <w:rPr>
          <w:rFonts w:hint="eastAsia"/>
        </w:rPr>
        <w:t xml:space="preserve"> </w:t>
      </w:r>
      <w:r>
        <w:rPr>
          <w:rFonts w:hint="eastAsia"/>
        </w:rPr>
        <w:t>工程协会组织专家组对受理项目的申报资料审查后，进行现场</w:t>
      </w:r>
      <w:r w:rsidR="0077029B">
        <w:rPr>
          <w:rFonts w:hint="eastAsia"/>
        </w:rPr>
        <w:t>复核</w:t>
      </w:r>
      <w:r>
        <w:rPr>
          <w:rFonts w:hint="eastAsia"/>
        </w:rPr>
        <w:t>。专家组由水利行业工程建设的专家五人以上组成，通过现场</w:t>
      </w:r>
      <w:r w:rsidR="0077029B">
        <w:rPr>
          <w:rFonts w:hint="eastAsia"/>
        </w:rPr>
        <w:t>复核</w:t>
      </w:r>
      <w:r>
        <w:rPr>
          <w:rFonts w:hint="eastAsia"/>
        </w:rPr>
        <w:t>的项目必须得到专家组五分之四以上成员同意。</w:t>
      </w:r>
    </w:p>
    <w:p w14:paraId="09698E83" w14:textId="4FB75ABB" w:rsidR="002E615D" w:rsidRDefault="00A73297">
      <w:pPr>
        <w:ind w:firstLineChars="200" w:firstLine="632"/>
      </w:pPr>
      <w:r>
        <w:rPr>
          <w:rFonts w:hint="eastAsia"/>
        </w:rPr>
        <w:t>第十</w:t>
      </w:r>
      <w:r w:rsidR="0077029B">
        <w:rPr>
          <w:rFonts w:hint="eastAsia"/>
        </w:rPr>
        <w:t>四</w:t>
      </w:r>
      <w:r>
        <w:rPr>
          <w:rFonts w:hint="eastAsia"/>
        </w:rPr>
        <w:t>条</w:t>
      </w:r>
      <w:r>
        <w:rPr>
          <w:rFonts w:hint="eastAsia"/>
        </w:rPr>
        <w:t xml:space="preserve"> </w:t>
      </w:r>
      <w:r>
        <w:rPr>
          <w:rFonts w:hint="eastAsia"/>
        </w:rPr>
        <w:t>专家组现场</w:t>
      </w:r>
      <w:r w:rsidR="0077029B">
        <w:rPr>
          <w:rFonts w:hint="eastAsia"/>
        </w:rPr>
        <w:t>复核</w:t>
      </w:r>
      <w:r>
        <w:rPr>
          <w:rFonts w:hint="eastAsia"/>
        </w:rPr>
        <w:t>的内容：</w:t>
      </w:r>
    </w:p>
    <w:p w14:paraId="318CFDA6" w14:textId="77777777" w:rsidR="002E615D" w:rsidRDefault="00A73297">
      <w:pPr>
        <w:ind w:firstLineChars="200" w:firstLine="632"/>
      </w:pPr>
      <w:r>
        <w:rPr>
          <w:rFonts w:hint="eastAsia"/>
        </w:rPr>
        <w:lastRenderedPageBreak/>
        <w:t>（一）听取申报单位情况汇报；</w:t>
      </w:r>
    </w:p>
    <w:p w14:paraId="08EB9CC7" w14:textId="4747AD24" w:rsidR="002E615D" w:rsidRDefault="00A73297">
      <w:pPr>
        <w:ind w:firstLineChars="200" w:firstLine="632"/>
      </w:pPr>
      <w:r>
        <w:rPr>
          <w:rFonts w:hint="eastAsia"/>
        </w:rPr>
        <w:t>（二）实地</w:t>
      </w:r>
      <w:r w:rsidR="0077029B">
        <w:rPr>
          <w:rFonts w:hint="eastAsia"/>
        </w:rPr>
        <w:t>查</w:t>
      </w:r>
      <w:r>
        <w:rPr>
          <w:rFonts w:hint="eastAsia"/>
        </w:rPr>
        <w:t>看工程；</w:t>
      </w:r>
    </w:p>
    <w:p w14:paraId="51EA3F1B" w14:textId="77777777" w:rsidR="002E615D" w:rsidRDefault="00A73297">
      <w:pPr>
        <w:ind w:firstLineChars="200" w:firstLine="632"/>
      </w:pPr>
      <w:r>
        <w:rPr>
          <w:rFonts w:hint="eastAsia"/>
        </w:rPr>
        <w:t>（三）查阅工程建设有关原始档案资料；</w:t>
      </w:r>
    </w:p>
    <w:p w14:paraId="2283CD38" w14:textId="77777777" w:rsidR="002E615D" w:rsidRDefault="00A73297">
      <w:pPr>
        <w:ind w:firstLineChars="200" w:firstLine="632"/>
      </w:pPr>
      <w:r>
        <w:rPr>
          <w:rFonts w:hint="eastAsia"/>
        </w:rPr>
        <w:t>（四）对工程现状和有关问题提出质询；</w:t>
      </w:r>
    </w:p>
    <w:p w14:paraId="3564B217" w14:textId="77777777" w:rsidR="002E615D" w:rsidRDefault="00A73297">
      <w:pPr>
        <w:ind w:firstLineChars="200" w:firstLine="632"/>
      </w:pPr>
      <w:r>
        <w:rPr>
          <w:rFonts w:hint="eastAsia"/>
        </w:rPr>
        <w:t>（五）按评审要点对评价工程给予赋分、评价；</w:t>
      </w:r>
    </w:p>
    <w:p w14:paraId="7310E08A" w14:textId="1A1E6E64" w:rsidR="002E615D" w:rsidRDefault="00A73297">
      <w:pPr>
        <w:ind w:firstLineChars="200" w:firstLine="632"/>
      </w:pPr>
      <w:r>
        <w:rPr>
          <w:rFonts w:hint="eastAsia"/>
        </w:rPr>
        <w:t>（六）完成现场</w:t>
      </w:r>
      <w:r w:rsidR="0077029B">
        <w:rPr>
          <w:rFonts w:hint="eastAsia"/>
        </w:rPr>
        <w:t>复核</w:t>
      </w:r>
      <w:r>
        <w:rPr>
          <w:rFonts w:hint="eastAsia"/>
        </w:rPr>
        <w:t>报告。</w:t>
      </w:r>
    </w:p>
    <w:p w14:paraId="6982F335" w14:textId="77777777" w:rsidR="002E615D" w:rsidRDefault="002E615D"/>
    <w:p w14:paraId="5FB939CE" w14:textId="00906D4A" w:rsidR="002E615D" w:rsidRDefault="00A73297">
      <w:pPr>
        <w:jc w:val="center"/>
        <w:rPr>
          <w:rFonts w:ascii="黑体" w:eastAsia="黑体" w:hAnsi="黑体" w:cs="黑体"/>
        </w:rPr>
      </w:pPr>
      <w:r>
        <w:rPr>
          <w:rFonts w:ascii="黑体" w:eastAsia="黑体" w:hAnsi="黑体" w:cs="黑体" w:hint="eastAsia"/>
        </w:rPr>
        <w:t>第五章  评</w:t>
      </w:r>
      <w:r w:rsidR="001305E3">
        <w:rPr>
          <w:rFonts w:ascii="黑体" w:eastAsia="黑体" w:hAnsi="黑体" w:cs="黑体" w:hint="eastAsia"/>
        </w:rPr>
        <w:t xml:space="preserve"> </w:t>
      </w:r>
      <w:r>
        <w:rPr>
          <w:rFonts w:ascii="黑体" w:eastAsia="黑体" w:hAnsi="黑体" w:cs="黑体" w:hint="eastAsia"/>
        </w:rPr>
        <w:t>审</w:t>
      </w:r>
    </w:p>
    <w:p w14:paraId="662EB3C4" w14:textId="26A47229" w:rsidR="002E615D" w:rsidRDefault="00A73297" w:rsidP="00724A86">
      <w:pPr>
        <w:spacing w:beforeLines="50" w:before="289"/>
        <w:ind w:firstLineChars="200" w:firstLine="632"/>
      </w:pPr>
      <w:r>
        <w:rPr>
          <w:rFonts w:hint="eastAsia"/>
        </w:rPr>
        <w:t>第十</w:t>
      </w:r>
      <w:r w:rsidR="0077029B">
        <w:rPr>
          <w:rFonts w:hint="eastAsia"/>
        </w:rPr>
        <w:t>五</w:t>
      </w:r>
      <w:r>
        <w:rPr>
          <w:rFonts w:hint="eastAsia"/>
        </w:rPr>
        <w:t>条</w:t>
      </w:r>
      <w:r>
        <w:rPr>
          <w:rFonts w:hint="eastAsia"/>
        </w:rPr>
        <w:t xml:space="preserve"> </w:t>
      </w:r>
      <w:r>
        <w:rPr>
          <w:rFonts w:hint="eastAsia"/>
        </w:rPr>
        <w:t>工程协会负责组建“闽水杯”评审委员会（简称评委会）。评委会的主要职责为：</w:t>
      </w:r>
    </w:p>
    <w:p w14:paraId="28B36189" w14:textId="77777777" w:rsidR="002E615D" w:rsidRDefault="00A73297">
      <w:pPr>
        <w:ind w:firstLineChars="200" w:firstLine="632"/>
      </w:pPr>
      <w:r>
        <w:rPr>
          <w:rFonts w:hint="eastAsia"/>
        </w:rPr>
        <w:t>（一）召开评审会议，对受理的工程进行评审，选出获奖工程；</w:t>
      </w:r>
    </w:p>
    <w:p w14:paraId="04B19DDD" w14:textId="77777777" w:rsidR="002E615D" w:rsidRDefault="00A73297">
      <w:pPr>
        <w:ind w:firstLineChars="200" w:firstLine="632"/>
      </w:pPr>
      <w:r>
        <w:rPr>
          <w:rFonts w:hint="eastAsia"/>
        </w:rPr>
        <w:t>（二）对评选工作提出指导性意见。</w:t>
      </w:r>
    </w:p>
    <w:p w14:paraId="2D01D9A3" w14:textId="0E3BFACB" w:rsidR="002E615D" w:rsidRDefault="00A73297">
      <w:pPr>
        <w:ind w:firstLineChars="200" w:firstLine="632"/>
      </w:pPr>
      <w:r>
        <w:rPr>
          <w:rFonts w:hint="eastAsia"/>
        </w:rPr>
        <w:t>第十</w:t>
      </w:r>
      <w:r w:rsidR="0077029B">
        <w:rPr>
          <w:rFonts w:hint="eastAsia"/>
        </w:rPr>
        <w:t>六</w:t>
      </w:r>
      <w:r>
        <w:rPr>
          <w:rFonts w:hint="eastAsia"/>
        </w:rPr>
        <w:t>条</w:t>
      </w:r>
      <w:r>
        <w:rPr>
          <w:rFonts w:hint="eastAsia"/>
        </w:rPr>
        <w:t xml:space="preserve"> </w:t>
      </w:r>
      <w:r>
        <w:rPr>
          <w:rFonts w:hint="eastAsia"/>
        </w:rPr>
        <w:t>评委会由水利行业工程建设的专家和相关业务主管部门的人员若干人组成，其中设主任委员</w:t>
      </w:r>
      <w:r>
        <w:rPr>
          <w:rFonts w:hint="eastAsia"/>
        </w:rPr>
        <w:t>1</w:t>
      </w:r>
      <w:r>
        <w:rPr>
          <w:rFonts w:hint="eastAsia"/>
        </w:rPr>
        <w:t>人，副主任委员</w:t>
      </w:r>
      <w:r>
        <w:rPr>
          <w:rFonts w:hint="eastAsia"/>
        </w:rPr>
        <w:t>2</w:t>
      </w:r>
      <w:r>
        <w:rPr>
          <w:rFonts w:hint="eastAsia"/>
        </w:rPr>
        <w:t>人。工程协会理事应占二分之一以上。评委会委员可根据需要进行调整。</w:t>
      </w:r>
    </w:p>
    <w:p w14:paraId="3B071E74" w14:textId="5CA3B6A0" w:rsidR="002E615D" w:rsidRDefault="00A73297">
      <w:pPr>
        <w:ind w:firstLineChars="200" w:firstLine="632"/>
      </w:pPr>
      <w:r>
        <w:rPr>
          <w:rFonts w:hint="eastAsia"/>
        </w:rPr>
        <w:t>第十</w:t>
      </w:r>
      <w:r w:rsidR="0077029B">
        <w:rPr>
          <w:rFonts w:hint="eastAsia"/>
        </w:rPr>
        <w:t>七</w:t>
      </w:r>
      <w:r>
        <w:rPr>
          <w:rFonts w:hint="eastAsia"/>
        </w:rPr>
        <w:t>条</w:t>
      </w:r>
      <w:r>
        <w:rPr>
          <w:rFonts w:hint="eastAsia"/>
        </w:rPr>
        <w:t xml:space="preserve"> </w:t>
      </w:r>
      <w:r>
        <w:rPr>
          <w:rFonts w:hint="eastAsia"/>
        </w:rPr>
        <w:t>评委会会议须有三分之二以上的委员出席方可召开。获得评委会委员半数以上同意选票的工程方可获奖。</w:t>
      </w:r>
    </w:p>
    <w:p w14:paraId="1B28129F" w14:textId="552AE71D" w:rsidR="002E615D" w:rsidRDefault="00A73297">
      <w:pPr>
        <w:ind w:firstLineChars="200" w:firstLine="632"/>
      </w:pPr>
      <w:r>
        <w:rPr>
          <w:rFonts w:hint="eastAsia"/>
        </w:rPr>
        <w:t>第十</w:t>
      </w:r>
      <w:r w:rsidR="0077029B">
        <w:rPr>
          <w:rFonts w:hint="eastAsia"/>
        </w:rPr>
        <w:t>八</w:t>
      </w:r>
      <w:r>
        <w:rPr>
          <w:rFonts w:hint="eastAsia"/>
        </w:rPr>
        <w:t>条</w:t>
      </w:r>
      <w:r>
        <w:rPr>
          <w:rFonts w:hint="eastAsia"/>
        </w:rPr>
        <w:t xml:space="preserve"> </w:t>
      </w:r>
      <w:r>
        <w:rPr>
          <w:rFonts w:hint="eastAsia"/>
        </w:rPr>
        <w:t>评定程序为：</w:t>
      </w:r>
    </w:p>
    <w:p w14:paraId="6B5F265D" w14:textId="77777777" w:rsidR="002E615D" w:rsidRDefault="00A73297">
      <w:pPr>
        <w:ind w:firstLineChars="200" w:firstLine="632"/>
      </w:pPr>
      <w:r>
        <w:rPr>
          <w:rFonts w:hint="eastAsia"/>
        </w:rPr>
        <w:t>（一）工程协会领导宣布评委会组成名单；</w:t>
      </w:r>
    </w:p>
    <w:p w14:paraId="3C4FBE5D" w14:textId="77777777" w:rsidR="002E615D" w:rsidRDefault="00A73297">
      <w:pPr>
        <w:ind w:firstLineChars="200" w:firstLine="632"/>
      </w:pPr>
      <w:r>
        <w:rPr>
          <w:rFonts w:hint="eastAsia"/>
        </w:rPr>
        <w:lastRenderedPageBreak/>
        <w:t>（二）评委会主任宣布评选原则；</w:t>
      </w:r>
    </w:p>
    <w:p w14:paraId="5A46C3EF" w14:textId="77777777" w:rsidR="002E615D" w:rsidRDefault="00A73297">
      <w:pPr>
        <w:ind w:firstLineChars="200" w:firstLine="632"/>
      </w:pPr>
      <w:r>
        <w:rPr>
          <w:rFonts w:hint="eastAsia"/>
        </w:rPr>
        <w:t>（三）由协会秘书处汇报评价报告，专家组介绍项目现场考评情况，评委会委员观看视频资料、查看申报资料并质询；</w:t>
      </w:r>
    </w:p>
    <w:p w14:paraId="67D792F8" w14:textId="77777777" w:rsidR="002E615D" w:rsidRDefault="00A73297">
      <w:pPr>
        <w:ind w:firstLineChars="200" w:firstLine="632"/>
      </w:pPr>
      <w:r>
        <w:rPr>
          <w:rFonts w:hint="eastAsia"/>
        </w:rPr>
        <w:t>（四）评委会委员以记名投票方式表决；</w:t>
      </w:r>
    </w:p>
    <w:p w14:paraId="542E2A8E" w14:textId="77777777" w:rsidR="002E615D" w:rsidRDefault="00A73297">
      <w:pPr>
        <w:ind w:firstLineChars="200" w:firstLine="632"/>
      </w:pPr>
      <w:r>
        <w:rPr>
          <w:rFonts w:hint="eastAsia"/>
        </w:rPr>
        <w:t>（五）评委会主任宣布评审结果。</w:t>
      </w:r>
    </w:p>
    <w:p w14:paraId="0A236A19" w14:textId="63DB0835" w:rsidR="002E615D" w:rsidRDefault="00A73297">
      <w:pPr>
        <w:ind w:firstLineChars="200" w:firstLine="632"/>
      </w:pPr>
      <w:r>
        <w:rPr>
          <w:rFonts w:hint="eastAsia"/>
        </w:rPr>
        <w:t>第</w:t>
      </w:r>
      <w:r w:rsidR="0077029B">
        <w:rPr>
          <w:rFonts w:hint="eastAsia"/>
        </w:rPr>
        <w:t>十九</w:t>
      </w:r>
      <w:r>
        <w:rPr>
          <w:rFonts w:hint="eastAsia"/>
        </w:rPr>
        <w:t>条</w:t>
      </w:r>
      <w:r>
        <w:rPr>
          <w:rFonts w:hint="eastAsia"/>
        </w:rPr>
        <w:t xml:space="preserve"> </w:t>
      </w:r>
      <w:r>
        <w:rPr>
          <w:rFonts w:hint="eastAsia"/>
        </w:rPr>
        <w:t>评委会评审结果在工程协会网站上公示，接受社会公众监督。</w:t>
      </w:r>
    </w:p>
    <w:p w14:paraId="0BA9F2C3" w14:textId="64D6BD35" w:rsidR="002E615D" w:rsidRDefault="00A73297">
      <w:pPr>
        <w:ind w:firstLineChars="200" w:firstLine="632"/>
      </w:pPr>
      <w:r>
        <w:rPr>
          <w:rFonts w:hint="eastAsia"/>
        </w:rPr>
        <w:t>第二十条</w:t>
      </w:r>
      <w:r>
        <w:rPr>
          <w:rFonts w:hint="eastAsia"/>
        </w:rPr>
        <w:t xml:space="preserve"> </w:t>
      </w:r>
      <w:r>
        <w:rPr>
          <w:rFonts w:hint="eastAsia"/>
        </w:rPr>
        <w:t>经公示无异议后，工程协会颁布获奖工程决定，并报省水利厅备案。</w:t>
      </w:r>
    </w:p>
    <w:p w14:paraId="11D2E6BA" w14:textId="77777777" w:rsidR="002E615D" w:rsidRDefault="002E615D"/>
    <w:p w14:paraId="62EA36C6" w14:textId="77777777" w:rsidR="002E615D" w:rsidRDefault="00A73297">
      <w:pPr>
        <w:jc w:val="center"/>
        <w:rPr>
          <w:rFonts w:ascii="黑体" w:eastAsia="黑体" w:hAnsi="黑体" w:cs="黑体"/>
        </w:rPr>
      </w:pPr>
      <w:r>
        <w:rPr>
          <w:rFonts w:ascii="黑体" w:eastAsia="黑体" w:hAnsi="黑体" w:cs="黑体" w:hint="eastAsia"/>
        </w:rPr>
        <w:t xml:space="preserve">第六章  奖 </w:t>
      </w:r>
      <w:proofErr w:type="gramStart"/>
      <w:r>
        <w:rPr>
          <w:rFonts w:ascii="黑体" w:eastAsia="黑体" w:hAnsi="黑体" w:cs="黑体" w:hint="eastAsia"/>
        </w:rPr>
        <w:t>励</w:t>
      </w:r>
      <w:proofErr w:type="gramEnd"/>
    </w:p>
    <w:p w14:paraId="29C64F97" w14:textId="42A9B9F5" w:rsidR="002E615D" w:rsidRDefault="00A73297" w:rsidP="00724A86">
      <w:pPr>
        <w:spacing w:beforeLines="50" w:before="289"/>
        <w:ind w:firstLineChars="200" w:firstLine="632"/>
      </w:pPr>
      <w:r>
        <w:rPr>
          <w:rFonts w:hint="eastAsia"/>
        </w:rPr>
        <w:t>第二十</w:t>
      </w:r>
      <w:r w:rsidR="0077029B">
        <w:rPr>
          <w:rFonts w:hint="eastAsia"/>
        </w:rPr>
        <w:t>一</w:t>
      </w:r>
      <w:r>
        <w:rPr>
          <w:rFonts w:hint="eastAsia"/>
        </w:rPr>
        <w:t>条</w:t>
      </w:r>
      <w:r>
        <w:rPr>
          <w:rFonts w:hint="eastAsia"/>
        </w:rPr>
        <w:t xml:space="preserve"> </w:t>
      </w:r>
      <w:r>
        <w:rPr>
          <w:rFonts w:hint="eastAsia"/>
        </w:rPr>
        <w:t>工程协会对获奖工程的工程建设项目法人（或建设单位）、主要参建单位授予“闽水杯”奖牌（杯）、荣誉证书；对主要贡献人授予奖牌、荣誉证书。获奖工程可在其显要位置上设置获奖标牌或标志。</w:t>
      </w:r>
    </w:p>
    <w:p w14:paraId="37E81BA3" w14:textId="77777777" w:rsidR="002E615D" w:rsidRDefault="00A73297">
      <w:pPr>
        <w:ind w:firstLineChars="200" w:firstLine="632"/>
      </w:pPr>
      <w:r>
        <w:rPr>
          <w:rFonts w:hint="eastAsia"/>
        </w:rPr>
        <w:t>获奖者范围、名额及条件另行制定。</w:t>
      </w:r>
    </w:p>
    <w:p w14:paraId="5E791680" w14:textId="037CC01C" w:rsidR="002E615D" w:rsidRDefault="00A73297">
      <w:pPr>
        <w:ind w:firstLineChars="200" w:firstLine="632"/>
      </w:pPr>
      <w:r>
        <w:rPr>
          <w:rFonts w:hint="eastAsia"/>
        </w:rPr>
        <w:t>第二十</w:t>
      </w:r>
      <w:r w:rsidR="0077029B">
        <w:rPr>
          <w:rFonts w:hint="eastAsia"/>
        </w:rPr>
        <w:t>二</w:t>
      </w:r>
      <w:r>
        <w:rPr>
          <w:rFonts w:hint="eastAsia"/>
        </w:rPr>
        <w:t>条</w:t>
      </w:r>
      <w:r>
        <w:rPr>
          <w:rFonts w:hint="eastAsia"/>
        </w:rPr>
        <w:t xml:space="preserve"> </w:t>
      </w:r>
      <w:r>
        <w:rPr>
          <w:rFonts w:hint="eastAsia"/>
        </w:rPr>
        <w:t>获奖工程将编入“闽水杯”获奖工程专辑，并在有关媒体上进行宣传、报道。</w:t>
      </w:r>
    </w:p>
    <w:p w14:paraId="666127FB" w14:textId="09B75A72" w:rsidR="002E615D" w:rsidRDefault="00A73297">
      <w:pPr>
        <w:ind w:firstLineChars="200" w:firstLine="632"/>
      </w:pPr>
      <w:r>
        <w:rPr>
          <w:rFonts w:hint="eastAsia"/>
        </w:rPr>
        <w:t>第二十</w:t>
      </w:r>
      <w:r w:rsidR="0077029B">
        <w:rPr>
          <w:rFonts w:hint="eastAsia"/>
        </w:rPr>
        <w:t>三</w:t>
      </w:r>
      <w:r>
        <w:rPr>
          <w:rFonts w:hint="eastAsia"/>
        </w:rPr>
        <w:t>条</w:t>
      </w:r>
      <w:r>
        <w:rPr>
          <w:rFonts w:hint="eastAsia"/>
        </w:rPr>
        <w:t xml:space="preserve"> </w:t>
      </w:r>
      <w:r>
        <w:rPr>
          <w:rFonts w:hint="eastAsia"/>
        </w:rPr>
        <w:t>获奖单位的上级单位可根据具体情况对其给予奖励。各获奖单位可根据具体情况，对主要贡献人给予奖励。</w:t>
      </w:r>
    </w:p>
    <w:p w14:paraId="3847AF36" w14:textId="0482D53B" w:rsidR="002E615D" w:rsidRDefault="00A73297">
      <w:pPr>
        <w:ind w:firstLineChars="200" w:firstLine="632"/>
      </w:pPr>
      <w:r>
        <w:rPr>
          <w:rFonts w:hint="eastAsia"/>
        </w:rPr>
        <w:t>第二十</w:t>
      </w:r>
      <w:r w:rsidR="0077029B">
        <w:rPr>
          <w:rFonts w:hint="eastAsia"/>
        </w:rPr>
        <w:t>四</w:t>
      </w:r>
      <w:r>
        <w:rPr>
          <w:rFonts w:hint="eastAsia"/>
        </w:rPr>
        <w:t>条</w:t>
      </w:r>
      <w:r>
        <w:rPr>
          <w:rFonts w:hint="eastAsia"/>
        </w:rPr>
        <w:t xml:space="preserve"> </w:t>
      </w:r>
      <w:r>
        <w:rPr>
          <w:rFonts w:hint="eastAsia"/>
        </w:rPr>
        <w:t>有关部门或有关方面可根据实际情况对获奖工</w:t>
      </w:r>
      <w:r>
        <w:rPr>
          <w:rFonts w:hint="eastAsia"/>
        </w:rPr>
        <w:lastRenderedPageBreak/>
        <w:t>程的获奖单位在其资信评级、参与类似工程投标中给予适当方式的鼓励。</w:t>
      </w:r>
    </w:p>
    <w:p w14:paraId="31197B17" w14:textId="77777777" w:rsidR="002E615D" w:rsidRDefault="002E615D"/>
    <w:p w14:paraId="3993FE58" w14:textId="77777777" w:rsidR="002E615D" w:rsidRDefault="00A73297">
      <w:pPr>
        <w:jc w:val="center"/>
        <w:rPr>
          <w:rFonts w:ascii="黑体" w:eastAsia="黑体" w:hAnsi="黑体" w:cs="黑体"/>
        </w:rPr>
      </w:pPr>
      <w:r>
        <w:rPr>
          <w:rFonts w:ascii="黑体" w:eastAsia="黑体" w:hAnsi="黑体" w:cs="黑体" w:hint="eastAsia"/>
        </w:rPr>
        <w:t>第七章  工作纪律</w:t>
      </w:r>
    </w:p>
    <w:p w14:paraId="4754108A" w14:textId="2F067783" w:rsidR="002E615D" w:rsidRDefault="00A73297" w:rsidP="00724A86">
      <w:pPr>
        <w:spacing w:beforeLines="50" w:before="289"/>
        <w:ind w:firstLineChars="200" w:firstLine="632"/>
      </w:pPr>
      <w:r>
        <w:rPr>
          <w:rFonts w:hint="eastAsia"/>
        </w:rPr>
        <w:t>第二十</w:t>
      </w:r>
      <w:r w:rsidR="0077029B">
        <w:rPr>
          <w:rFonts w:hint="eastAsia"/>
        </w:rPr>
        <w:t>五</w:t>
      </w:r>
      <w:r>
        <w:rPr>
          <w:rFonts w:hint="eastAsia"/>
        </w:rPr>
        <w:t>条</w:t>
      </w:r>
      <w:r>
        <w:rPr>
          <w:rFonts w:hint="eastAsia"/>
        </w:rPr>
        <w:t xml:space="preserve"> </w:t>
      </w:r>
      <w:r>
        <w:rPr>
          <w:rFonts w:hint="eastAsia"/>
        </w:rPr>
        <w:t>申报单位在评选工作中，不得弄虚作假，不得行贿送礼。对违反者，三年内不得申报，并按照视同使用虚假材料参与信用评价的行为在福建省水利建设市场信用评价平台予以通报。</w:t>
      </w:r>
    </w:p>
    <w:p w14:paraId="7F0B5C2A" w14:textId="3FB092F3" w:rsidR="002E615D" w:rsidRDefault="00A73297">
      <w:pPr>
        <w:ind w:firstLineChars="200" w:firstLine="632"/>
      </w:pPr>
      <w:r>
        <w:rPr>
          <w:rFonts w:hint="eastAsia"/>
        </w:rPr>
        <w:t>第二十</w:t>
      </w:r>
      <w:r w:rsidR="0077029B">
        <w:rPr>
          <w:rFonts w:hint="eastAsia"/>
        </w:rPr>
        <w:t>六</w:t>
      </w:r>
      <w:r>
        <w:rPr>
          <w:rFonts w:hint="eastAsia"/>
        </w:rPr>
        <w:t>条</w:t>
      </w:r>
      <w:r>
        <w:rPr>
          <w:rFonts w:hint="eastAsia"/>
        </w:rPr>
        <w:t xml:space="preserve"> </w:t>
      </w:r>
      <w:r>
        <w:rPr>
          <w:rFonts w:hint="eastAsia"/>
        </w:rPr>
        <w:t>评委会委员、专家要秉公办事，严守纪律，自觉抵制不正之风。对违反者，视其情节轻重，给予批评、警告或撤消其评选工作资格。</w:t>
      </w:r>
    </w:p>
    <w:p w14:paraId="71DBB5E2" w14:textId="77777777" w:rsidR="002E615D" w:rsidRDefault="00A73297">
      <w:pPr>
        <w:ind w:firstLineChars="200" w:firstLine="632"/>
      </w:pPr>
      <w:r>
        <w:rPr>
          <w:rFonts w:hint="eastAsia"/>
        </w:rPr>
        <w:t>有关工作人员在评选工作中玩忽职守、滥用职权、徇私舞弊的，按行业自律有关规定给予处罚；构成犯罪的，依法追究其刑事责任。</w:t>
      </w:r>
    </w:p>
    <w:p w14:paraId="14DD9E68" w14:textId="77777777" w:rsidR="002E615D" w:rsidRDefault="002E615D"/>
    <w:p w14:paraId="1512C6A3" w14:textId="77777777" w:rsidR="002E615D" w:rsidRDefault="00A73297">
      <w:pPr>
        <w:jc w:val="center"/>
        <w:rPr>
          <w:rFonts w:ascii="黑体" w:eastAsia="黑体" w:hAnsi="黑体" w:cs="黑体"/>
        </w:rPr>
      </w:pPr>
      <w:r>
        <w:rPr>
          <w:rFonts w:ascii="黑体" w:eastAsia="黑体" w:hAnsi="黑体" w:cs="黑体" w:hint="eastAsia"/>
        </w:rPr>
        <w:t>第八章  附 则</w:t>
      </w:r>
    </w:p>
    <w:p w14:paraId="1EF2EF95" w14:textId="15707E1C" w:rsidR="002E615D" w:rsidRDefault="00A73297" w:rsidP="00724A86">
      <w:pPr>
        <w:spacing w:beforeLines="50" w:before="289"/>
        <w:ind w:firstLineChars="200" w:firstLine="632"/>
      </w:pPr>
      <w:r>
        <w:rPr>
          <w:rFonts w:hint="eastAsia"/>
        </w:rPr>
        <w:t>第二十</w:t>
      </w:r>
      <w:r w:rsidR="0077029B">
        <w:rPr>
          <w:rFonts w:hint="eastAsia"/>
        </w:rPr>
        <w:t>七</w:t>
      </w:r>
      <w:r>
        <w:rPr>
          <w:rFonts w:hint="eastAsia"/>
        </w:rPr>
        <w:t>条</w:t>
      </w:r>
      <w:r>
        <w:rPr>
          <w:rFonts w:hint="eastAsia"/>
        </w:rPr>
        <w:t xml:space="preserve"> </w:t>
      </w:r>
      <w:r>
        <w:rPr>
          <w:rFonts w:hint="eastAsia"/>
        </w:rPr>
        <w:t>对已获奖工程，如发现有弄虚作假、骗取奖项等问题，经查明属实，</w:t>
      </w:r>
      <w:r>
        <w:rPr>
          <w:rFonts w:hint="eastAsia"/>
        </w:rPr>
        <w:t xml:space="preserve"> </w:t>
      </w:r>
      <w:r>
        <w:rPr>
          <w:rFonts w:hint="eastAsia"/>
        </w:rPr>
        <w:t>工程协会有权做出撤销该工程获奖称号（包括获奖单位和人员）的决定。</w:t>
      </w:r>
    </w:p>
    <w:p w14:paraId="265F6CB6" w14:textId="0CB52D96" w:rsidR="002E615D" w:rsidRDefault="00A73297" w:rsidP="00724A86">
      <w:pPr>
        <w:ind w:firstLineChars="200" w:firstLine="632"/>
      </w:pPr>
      <w:r>
        <w:rPr>
          <w:rFonts w:hint="eastAsia"/>
        </w:rPr>
        <w:t>第二十</w:t>
      </w:r>
      <w:r w:rsidR="0077029B">
        <w:rPr>
          <w:rFonts w:hint="eastAsia"/>
        </w:rPr>
        <w:t>八</w:t>
      </w:r>
      <w:r>
        <w:rPr>
          <w:rFonts w:hint="eastAsia"/>
        </w:rPr>
        <w:t>条</w:t>
      </w:r>
      <w:r>
        <w:rPr>
          <w:rFonts w:hint="eastAsia"/>
        </w:rPr>
        <w:t xml:space="preserve"> </w:t>
      </w:r>
      <w:r>
        <w:rPr>
          <w:rFonts w:hint="eastAsia"/>
        </w:rPr>
        <w:t>本办法在省水利</w:t>
      </w:r>
      <w:proofErr w:type="gramStart"/>
      <w:r>
        <w:rPr>
          <w:rFonts w:hint="eastAsia"/>
        </w:rPr>
        <w:t>厅指导</w:t>
      </w:r>
      <w:proofErr w:type="gramEnd"/>
      <w:r>
        <w:rPr>
          <w:rFonts w:hint="eastAsia"/>
        </w:rPr>
        <w:t>下修订，自颁布之日起施行。</w:t>
      </w:r>
    </w:p>
    <w:sectPr w:rsidR="002E615D">
      <w:headerReference w:type="default" r:id="rId7"/>
      <w:footerReference w:type="even" r:id="rId8"/>
      <w:footerReference w:type="default" r:id="rId9"/>
      <w:pgSz w:w="11906" w:h="16838"/>
      <w:pgMar w:top="2098" w:right="1474" w:bottom="1985" w:left="1588" w:header="851" w:footer="1588" w:gutter="0"/>
      <w:pgNumType w:fmt="decimalFullWidt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603E" w14:textId="77777777" w:rsidR="007064F1" w:rsidRDefault="007064F1">
      <w:r>
        <w:separator/>
      </w:r>
    </w:p>
  </w:endnote>
  <w:endnote w:type="continuationSeparator" w:id="0">
    <w:p w14:paraId="3249492C" w14:textId="77777777" w:rsidR="007064F1" w:rsidRDefault="0070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2CBD" w14:textId="77777777" w:rsidR="002E615D" w:rsidRDefault="00A73297">
    <w:pPr>
      <w:pStyle w:val="a6"/>
      <w:framePr w:wrap="around" w:vAnchor="text" w:hAnchor="margin" w:xAlign="outside" w:y="1"/>
      <w:rPr>
        <w:rStyle w:val="a9"/>
        <w:rFonts w:ascii="Tahoma" w:hAnsi="Tahoma" w:cs="Tahoma"/>
        <w:sz w:val="28"/>
        <w:szCs w:val="28"/>
      </w:rPr>
    </w:pPr>
    <w:r>
      <w:rPr>
        <w:rStyle w:val="a9"/>
        <w:rFonts w:ascii="楷体_GB2312" w:eastAsia="楷体_GB2312" w:hint="eastAsia"/>
        <w:sz w:val="28"/>
      </w:rPr>
      <w:t>—</w:t>
    </w:r>
    <w:r>
      <w:rPr>
        <w:rFonts w:ascii="楷体_GB2312" w:eastAsia="楷体_GB2312" w:hint="eastAsia"/>
        <w:sz w:val="28"/>
      </w:rPr>
      <w:fldChar w:fldCharType="begin"/>
    </w:r>
    <w:r>
      <w:rPr>
        <w:rStyle w:val="a9"/>
        <w:rFonts w:ascii="楷体_GB2312" w:eastAsia="楷体_GB2312" w:hint="eastAsia"/>
        <w:sz w:val="28"/>
      </w:rPr>
      <w:instrText xml:space="preserve"> PAGE </w:instrText>
    </w:r>
    <w:r>
      <w:rPr>
        <w:rFonts w:ascii="楷体_GB2312" w:eastAsia="楷体_GB2312" w:hint="eastAsia"/>
        <w:sz w:val="28"/>
      </w:rPr>
      <w:fldChar w:fldCharType="separate"/>
    </w:r>
    <w:r>
      <w:rPr>
        <w:rStyle w:val="a9"/>
        <w:rFonts w:ascii="楷体_GB2312" w:eastAsia="楷体_GB2312" w:hint="eastAsia"/>
        <w:sz w:val="28"/>
      </w:rPr>
      <w:t>２２</w:t>
    </w:r>
    <w:r>
      <w:rPr>
        <w:rFonts w:ascii="楷体_GB2312" w:eastAsia="楷体_GB2312" w:hint="eastAsia"/>
        <w:sz w:val="28"/>
      </w:rPr>
      <w:fldChar w:fldCharType="end"/>
    </w:r>
    <w:r>
      <w:rPr>
        <w:rStyle w:val="a9"/>
        <w:rFonts w:ascii="楷体_GB2312" w:eastAsia="楷体_GB2312" w:hint="eastAsia"/>
        <w:sz w:val="28"/>
      </w:rPr>
      <w:t>—</w:t>
    </w:r>
    <w:r>
      <w:rPr>
        <w:rStyle w:val="a9"/>
        <w:rFonts w:ascii="Tahoma" w:hAnsi="Tahoma" w:cs="Tahoma" w:hint="eastAsia"/>
        <w:sz w:val="28"/>
        <w:szCs w:val="28"/>
      </w:rPr>
      <w:t xml:space="preserve">  </w:t>
    </w:r>
  </w:p>
  <w:p w14:paraId="31903610" w14:textId="77777777" w:rsidR="002E615D" w:rsidRDefault="00A73297">
    <w:pPr>
      <w:pStyle w:val="a6"/>
      <w:ind w:right="360" w:firstLine="360"/>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B795" w14:textId="77777777" w:rsidR="002E615D" w:rsidRDefault="00A73297">
    <w:pPr>
      <w:pStyle w:val="a6"/>
      <w:framePr w:wrap="around" w:vAnchor="text" w:hAnchor="margin" w:xAlign="outside" w:y="1"/>
      <w:rPr>
        <w:rStyle w:val="a9"/>
        <w:rFonts w:ascii="Tahoma" w:hAnsi="Tahoma" w:cs="Tahoma"/>
        <w:sz w:val="28"/>
        <w:szCs w:val="28"/>
      </w:rPr>
    </w:pPr>
    <w:r>
      <w:rPr>
        <w:rStyle w:val="a9"/>
        <w:rFonts w:ascii="楷体_GB2312" w:eastAsia="楷体_GB2312" w:hint="eastAsia"/>
        <w:sz w:val="28"/>
      </w:rPr>
      <w:t>—</w:t>
    </w:r>
    <w:r>
      <w:rPr>
        <w:rFonts w:ascii="楷体_GB2312" w:eastAsia="楷体_GB2312" w:hint="eastAsia"/>
        <w:sz w:val="28"/>
      </w:rPr>
      <w:fldChar w:fldCharType="begin"/>
    </w:r>
    <w:r>
      <w:rPr>
        <w:rStyle w:val="a9"/>
        <w:rFonts w:ascii="楷体_GB2312" w:eastAsia="楷体_GB2312" w:hint="eastAsia"/>
        <w:sz w:val="28"/>
      </w:rPr>
      <w:instrText xml:space="preserve"> PAGE </w:instrText>
    </w:r>
    <w:r>
      <w:rPr>
        <w:rFonts w:ascii="楷体_GB2312" w:eastAsia="楷体_GB2312" w:hint="eastAsia"/>
        <w:sz w:val="28"/>
      </w:rPr>
      <w:fldChar w:fldCharType="separate"/>
    </w:r>
    <w:r>
      <w:rPr>
        <w:rStyle w:val="a9"/>
        <w:rFonts w:ascii="楷体_GB2312" w:eastAsia="楷体_GB2312" w:hint="eastAsia"/>
        <w:sz w:val="28"/>
      </w:rPr>
      <w:t>１</w:t>
    </w:r>
    <w:r>
      <w:rPr>
        <w:rFonts w:ascii="楷体_GB2312" w:eastAsia="楷体_GB2312" w:hint="eastAsia"/>
        <w:sz w:val="28"/>
      </w:rPr>
      <w:fldChar w:fldCharType="end"/>
    </w:r>
    <w:r>
      <w:rPr>
        <w:rStyle w:val="a9"/>
        <w:rFonts w:ascii="楷体_GB2312" w:eastAsia="楷体_GB2312" w:hint="eastAsia"/>
        <w:sz w:val="28"/>
      </w:rPr>
      <w:t>—</w:t>
    </w:r>
    <w:r>
      <w:rPr>
        <w:rStyle w:val="a9"/>
        <w:rFonts w:ascii="Tahoma" w:hAnsi="Tahoma" w:cs="Tahoma" w:hint="eastAsia"/>
        <w:sz w:val="28"/>
        <w:szCs w:val="28"/>
      </w:rPr>
      <w:t xml:space="preserve">  </w:t>
    </w:r>
  </w:p>
  <w:p w14:paraId="2416BACE" w14:textId="77777777" w:rsidR="002E615D" w:rsidRDefault="002E615D">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2702" w14:textId="77777777" w:rsidR="007064F1" w:rsidRDefault="007064F1">
      <w:r>
        <w:separator/>
      </w:r>
    </w:p>
  </w:footnote>
  <w:footnote w:type="continuationSeparator" w:id="0">
    <w:p w14:paraId="38B4B4E5" w14:textId="77777777" w:rsidR="007064F1" w:rsidRDefault="0070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F6A4" w14:textId="77777777" w:rsidR="002E615D" w:rsidRDefault="002E615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5D3104"/>
    <w:rsid w:val="00002083"/>
    <w:rsid w:val="00063BCC"/>
    <w:rsid w:val="00084D58"/>
    <w:rsid w:val="00093E6C"/>
    <w:rsid w:val="000F5E0B"/>
    <w:rsid w:val="00123486"/>
    <w:rsid w:val="00124840"/>
    <w:rsid w:val="00125D3F"/>
    <w:rsid w:val="001305E3"/>
    <w:rsid w:val="00143649"/>
    <w:rsid w:val="00172140"/>
    <w:rsid w:val="00174F24"/>
    <w:rsid w:val="001973FC"/>
    <w:rsid w:val="001A7639"/>
    <w:rsid w:val="001D7BCD"/>
    <w:rsid w:val="001F1EB8"/>
    <w:rsid w:val="0021113D"/>
    <w:rsid w:val="002338B0"/>
    <w:rsid w:val="0025274C"/>
    <w:rsid w:val="00284774"/>
    <w:rsid w:val="002C0B07"/>
    <w:rsid w:val="002E615D"/>
    <w:rsid w:val="002F14B5"/>
    <w:rsid w:val="00316697"/>
    <w:rsid w:val="00383DBA"/>
    <w:rsid w:val="003B2C73"/>
    <w:rsid w:val="003B3904"/>
    <w:rsid w:val="003D6AE5"/>
    <w:rsid w:val="00435A4C"/>
    <w:rsid w:val="00445530"/>
    <w:rsid w:val="004841E4"/>
    <w:rsid w:val="004E144F"/>
    <w:rsid w:val="004E14BD"/>
    <w:rsid w:val="00501F2E"/>
    <w:rsid w:val="00545AAD"/>
    <w:rsid w:val="00571E12"/>
    <w:rsid w:val="0057245F"/>
    <w:rsid w:val="00576EAA"/>
    <w:rsid w:val="005B5530"/>
    <w:rsid w:val="005B79C9"/>
    <w:rsid w:val="005C39A0"/>
    <w:rsid w:val="006041D7"/>
    <w:rsid w:val="0060534A"/>
    <w:rsid w:val="0063287F"/>
    <w:rsid w:val="00637F88"/>
    <w:rsid w:val="00645667"/>
    <w:rsid w:val="00656030"/>
    <w:rsid w:val="0066569C"/>
    <w:rsid w:val="006669F0"/>
    <w:rsid w:val="00682C08"/>
    <w:rsid w:val="006D5B40"/>
    <w:rsid w:val="006E6780"/>
    <w:rsid w:val="007064F1"/>
    <w:rsid w:val="0072046C"/>
    <w:rsid w:val="00724A86"/>
    <w:rsid w:val="00735769"/>
    <w:rsid w:val="007520B4"/>
    <w:rsid w:val="0077029B"/>
    <w:rsid w:val="0079249F"/>
    <w:rsid w:val="007B4460"/>
    <w:rsid w:val="007C3CD3"/>
    <w:rsid w:val="007D233A"/>
    <w:rsid w:val="007F6FB5"/>
    <w:rsid w:val="00803315"/>
    <w:rsid w:val="00806ACB"/>
    <w:rsid w:val="00827A2D"/>
    <w:rsid w:val="008B1F09"/>
    <w:rsid w:val="00911717"/>
    <w:rsid w:val="00923623"/>
    <w:rsid w:val="00983457"/>
    <w:rsid w:val="009A53FC"/>
    <w:rsid w:val="009A6A58"/>
    <w:rsid w:val="009B5B03"/>
    <w:rsid w:val="009E60B1"/>
    <w:rsid w:val="009F5657"/>
    <w:rsid w:val="00A140D4"/>
    <w:rsid w:val="00A141AB"/>
    <w:rsid w:val="00A236D4"/>
    <w:rsid w:val="00A3037A"/>
    <w:rsid w:val="00A73297"/>
    <w:rsid w:val="00A81B9D"/>
    <w:rsid w:val="00AA28BA"/>
    <w:rsid w:val="00AB3C2A"/>
    <w:rsid w:val="00B40C46"/>
    <w:rsid w:val="00BF4134"/>
    <w:rsid w:val="00C16BA4"/>
    <w:rsid w:val="00C57C55"/>
    <w:rsid w:val="00CA2973"/>
    <w:rsid w:val="00CA2CB6"/>
    <w:rsid w:val="00CA6205"/>
    <w:rsid w:val="00CB1B80"/>
    <w:rsid w:val="00CC23AF"/>
    <w:rsid w:val="00CC4976"/>
    <w:rsid w:val="00CF4DD0"/>
    <w:rsid w:val="00D13B26"/>
    <w:rsid w:val="00D32DAD"/>
    <w:rsid w:val="00D4038E"/>
    <w:rsid w:val="00D64D2E"/>
    <w:rsid w:val="00D71953"/>
    <w:rsid w:val="00D96DF0"/>
    <w:rsid w:val="00DA14FB"/>
    <w:rsid w:val="00DD003A"/>
    <w:rsid w:val="00E052B9"/>
    <w:rsid w:val="00E24F3F"/>
    <w:rsid w:val="00E26ACE"/>
    <w:rsid w:val="00E36804"/>
    <w:rsid w:val="00E90D75"/>
    <w:rsid w:val="00EA540E"/>
    <w:rsid w:val="00EA61A1"/>
    <w:rsid w:val="00EB5724"/>
    <w:rsid w:val="00EB6039"/>
    <w:rsid w:val="00ED7D95"/>
    <w:rsid w:val="00EE3941"/>
    <w:rsid w:val="00EF41EE"/>
    <w:rsid w:val="00F07C3F"/>
    <w:rsid w:val="00F46F8D"/>
    <w:rsid w:val="00F623AF"/>
    <w:rsid w:val="00F63705"/>
    <w:rsid w:val="00F95989"/>
    <w:rsid w:val="00FD470F"/>
    <w:rsid w:val="00FE0FFC"/>
    <w:rsid w:val="5B5D3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842FD"/>
  <w15:docId w15:val="{9C934436-80CF-429A-9E33-241CFA3F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character" w:styleId="aa">
    <w:name w:val="Hyperlink"/>
    <w:basedOn w:val="a0"/>
    <w:rPr>
      <w:color w:val="0000FF"/>
      <w:u w:val="single"/>
    </w:rPr>
  </w:style>
  <w:style w:type="paragraph" w:customStyle="1" w:styleId="CharCharCharChar">
    <w:name w:val="Char Char Char Char"/>
    <w:basedOn w:val="a"/>
    <w:rPr>
      <w:rFonts w:eastAsia="宋体"/>
      <w:sz w:val="21"/>
      <w:szCs w:val="20"/>
    </w:rPr>
  </w:style>
  <w:style w:type="character" w:customStyle="1" w:styleId="a4">
    <w:name w:val="日期 字符"/>
    <w:basedOn w:val="a0"/>
    <w:link w:val="a3"/>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Desktop\&#21150;&#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办文模板.dot</Template>
  <TotalTime>34</TotalTime>
  <Pages>6</Pages>
  <Words>2315</Words>
  <Characters>133</Characters>
  <Application>Microsoft Office Word</Application>
  <DocSecurity>0</DocSecurity>
  <Lines>1</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主题词：水库 除险 加固</dc:title>
  <dc:creator>LJ</dc:creator>
  <cp:lastModifiedBy>Young Nelly</cp:lastModifiedBy>
  <cp:revision>9</cp:revision>
  <cp:lastPrinted>2022-07-12T01:50:00Z</cp:lastPrinted>
  <dcterms:created xsi:type="dcterms:W3CDTF">2022-06-20T01:59:00Z</dcterms:created>
  <dcterms:modified xsi:type="dcterms:W3CDTF">2022-07-12T01:53:00Z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